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38" w:rsidRDefault="00835A38" w:rsidP="00835A38">
      <w:pPr>
        <w:pStyle w:val="Style1"/>
        <w:kinsoku w:val="0"/>
        <w:autoSpaceDE/>
        <w:autoSpaceDN/>
        <w:adjustRightInd/>
        <w:spacing w:before="504" w:line="255" w:lineRule="exact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555-02</w:t>
      </w:r>
    </w:p>
    <w:p w:rsidR="00835A38" w:rsidRDefault="00835A38" w:rsidP="00835A38">
      <w:pPr>
        <w:pStyle w:val="Style1"/>
        <w:kinsoku w:val="0"/>
        <w:autoSpaceDE/>
        <w:autoSpaceDN/>
        <w:adjustRightInd/>
        <w:spacing w:before="216" w:line="278" w:lineRule="exact"/>
        <w:ind w:right="144"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treinta y un minutos del dieciséis de octubre del dos mil dos.-</w:t>
      </w:r>
    </w:p>
    <w:p w:rsidR="00835A38" w:rsidRDefault="00835A38" w:rsidP="00835A38">
      <w:pPr>
        <w:pStyle w:val="Style1"/>
        <w:kinsoku w:val="0"/>
        <w:autoSpaceDE/>
        <w:autoSpaceDN/>
        <w:adjustRightInd/>
        <w:spacing w:before="180" w:line="278" w:lineRule="exact"/>
        <w:ind w:right="144"/>
        <w:jc w:val="both"/>
        <w:rPr>
          <w:b/>
          <w:bCs/>
          <w:spacing w:val="-5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-8"/>
          <w:w w:val="105"/>
          <w:lang w:val="es-ES" w:eastAsia="es-ES"/>
        </w:rPr>
        <w:t xml:space="preserve">RAMA, cédula de </w:t>
      </w:r>
      <w:r>
        <w:rPr>
          <w:b/>
          <w:bCs/>
          <w:spacing w:val="-4"/>
          <w:w w:val="105"/>
          <w:lang w:val="es-ES" w:eastAsia="es-ES"/>
        </w:rPr>
        <w:t xml:space="preserve">identidad </w:t>
      </w:r>
      <w:proofErr w:type="gramStart"/>
      <w:r>
        <w:rPr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b/>
          <w:bCs/>
          <w:spacing w:val="-4"/>
          <w:w w:val="105"/>
          <w:lang w:val="es-ES" w:eastAsia="es-ES"/>
        </w:rPr>
        <w:t xml:space="preserve">, </w:t>
      </w:r>
      <w:r>
        <w:rPr>
          <w:spacing w:val="-4"/>
          <w:w w:val="105"/>
          <w:lang w:val="es-ES" w:eastAsia="es-ES"/>
        </w:rPr>
        <w:t xml:space="preserve">contra la publicación que le otorga 80 puntos, notificada </w:t>
      </w:r>
      <w:r>
        <w:rPr>
          <w:w w:val="105"/>
          <w:lang w:val="es-ES" w:eastAsia="es-ES"/>
        </w:rPr>
        <w:t xml:space="preserve">mediante el Alcance número 75-A a La Gaceta 207 de fecha 29 de octubre del 2001, </w:t>
      </w:r>
      <w:r>
        <w:rPr>
          <w:spacing w:val="2"/>
          <w:w w:val="105"/>
          <w:lang w:val="es-ES" w:eastAsia="es-ES"/>
        </w:rPr>
        <w:t xml:space="preserve">dictado por el Consejo de Transporte Público y tramitado en este Despacho bajo el </w:t>
      </w:r>
      <w:r>
        <w:rPr>
          <w:b/>
          <w:bCs/>
          <w:spacing w:val="-5"/>
          <w:w w:val="105"/>
          <w:lang w:val="es-ES" w:eastAsia="es-ES"/>
        </w:rPr>
        <w:t>Expediente Administrativo No. TAT-120-01.</w:t>
      </w:r>
    </w:p>
    <w:p w:rsidR="00835A38" w:rsidRDefault="00835A38" w:rsidP="00835A38">
      <w:pPr>
        <w:pStyle w:val="Style1"/>
        <w:kinsoku w:val="0"/>
        <w:autoSpaceDE/>
        <w:autoSpaceDN/>
        <w:adjustRightInd/>
        <w:spacing w:before="216" w:line="246" w:lineRule="exact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835A38" w:rsidRDefault="00835A38" w:rsidP="00835A38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PRIMERO: </w:t>
      </w:r>
      <w:r>
        <w:rPr>
          <w:rStyle w:val="CharacterStyle1"/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4"/>
          <w:w w:val="105"/>
          <w:lang w:val="es-ES" w:eastAsia="es-ES"/>
        </w:rPr>
        <w:t>resultados de estudio y calificación de ofertas, forma de adjudicación, y demás aspectos especiales de este concurso.</w:t>
      </w:r>
    </w:p>
    <w:p w:rsidR="00835A38" w:rsidRDefault="00835A38" w:rsidP="00835A38">
      <w:pPr>
        <w:pStyle w:val="Style2"/>
        <w:kinsoku w:val="0"/>
        <w:autoSpaceDE/>
        <w:autoSpaceDN/>
        <w:spacing w:line="274" w:lineRule="exact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SEGUNDO: </w:t>
      </w:r>
      <w:r>
        <w:rPr>
          <w:rStyle w:val="CharacterStyle1"/>
          <w:spacing w:val="-3"/>
          <w:w w:val="105"/>
          <w:lang w:val="es-ES" w:eastAsia="es-ES"/>
        </w:rPr>
        <w:t xml:space="preserve">Que mediante el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835A38" w:rsidRDefault="00835A38" w:rsidP="00835A38">
      <w:pPr>
        <w:pStyle w:val="Style2"/>
        <w:kinsoku w:val="0"/>
        <w:autoSpaceDE/>
        <w:autoSpaceDN/>
        <w:spacing w:before="180" w:line="281" w:lineRule="exact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mediante formulario N° …, de fecha 16 de febrero del 2001, el </w:t>
      </w:r>
      <w:r>
        <w:rPr>
          <w:rStyle w:val="CharacterStyle1"/>
          <w:spacing w:val="2"/>
          <w:w w:val="105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1"/>
          <w:spacing w:val="-1"/>
          <w:w w:val="105"/>
          <w:lang w:val="es-ES" w:eastAsia="es-ES"/>
        </w:rPr>
        <w:t xml:space="preserve">ofertando para la base de operación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202019, </w:t>
      </w:r>
      <w:r>
        <w:rPr>
          <w:rStyle w:val="CharacterStyle1"/>
          <w:spacing w:val="-1"/>
          <w:w w:val="105"/>
          <w:lang w:val="es-ES" w:eastAsia="es-ES"/>
        </w:rPr>
        <w:t xml:space="preserve">con vehículo tipo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SEDAN </w:t>
      </w:r>
      <w:r>
        <w:rPr>
          <w:rStyle w:val="CharacterStyle1"/>
          <w:spacing w:val="-1"/>
          <w:w w:val="105"/>
          <w:lang w:val="es-ES" w:eastAsia="es-ES"/>
        </w:rPr>
        <w:t xml:space="preserve">(ver a folios 11 y </w:t>
      </w:r>
      <w:r>
        <w:rPr>
          <w:rStyle w:val="CharacterStyle1"/>
          <w:spacing w:val="-5"/>
          <w:w w:val="105"/>
          <w:lang w:val="es-ES" w:eastAsia="es-ES"/>
        </w:rPr>
        <w:t>12 del expediente administrativo).</w:t>
      </w:r>
    </w:p>
    <w:p w:rsidR="00835A38" w:rsidRDefault="00835A38" w:rsidP="00835A38">
      <w:pPr>
        <w:pStyle w:val="Style2"/>
        <w:kinsoku w:val="0"/>
        <w:autoSpaceDE/>
        <w:autoSpaceDN/>
        <w:spacing w:line="275" w:lineRule="exact"/>
        <w:rPr>
          <w:rStyle w:val="CharacterStyle1"/>
          <w:rFonts w:ascii="Garamond" w:hAnsi="Garamond" w:cs="Garamond"/>
          <w:sz w:val="26"/>
          <w:szCs w:val="26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CUARTO: </w:t>
      </w:r>
      <w:r>
        <w:rPr>
          <w:rStyle w:val="CharacterStyle1"/>
          <w:spacing w:val="-3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66 a La Gaceta N° 171, de fecha 6 de setiembre del 2001, estableció el listado </w:t>
      </w:r>
      <w:r>
        <w:rPr>
          <w:rStyle w:val="CharacterStyle1"/>
          <w:spacing w:val="-3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w w:val="105"/>
          <w:lang w:val="es-ES" w:eastAsia="es-ES"/>
        </w:rPr>
        <w:t xml:space="preserve">cada uno de los participantes, en la cual consigna al recurrente una </w:t>
      </w:r>
      <w:r>
        <w:rPr>
          <w:rStyle w:val="CharacterStyle1"/>
          <w:rFonts w:ascii="Garamond" w:hAnsi="Garamond" w:cs="Garamond"/>
          <w:sz w:val="26"/>
          <w:szCs w:val="26"/>
          <w:lang w:val="es-ES" w:eastAsia="es-ES"/>
        </w:rPr>
        <w:t>calificación de 80 puntos.</w:t>
      </w:r>
    </w:p>
    <w:p w:rsidR="00835A38" w:rsidRDefault="00835A38" w:rsidP="00835A38">
      <w:pPr>
        <w:pStyle w:val="Style1"/>
        <w:kinsoku w:val="0"/>
        <w:autoSpaceDE/>
        <w:autoSpaceDN/>
        <w:adjustRightInd/>
        <w:spacing w:before="180" w:line="281" w:lineRule="exact"/>
        <w:ind w:right="144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QUINTO: </w:t>
      </w:r>
      <w:r>
        <w:rPr>
          <w:spacing w:val="-2"/>
          <w:w w:val="105"/>
          <w:lang w:val="es-ES" w:eastAsia="es-ES"/>
        </w:rPr>
        <w:t xml:space="preserve">El Consejo de Transporte Público, mediante acuerdo firme, publicado en el 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2001, en la cual consigna al recurrente una calificación de 80 puntos.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628" w:right="1451" w:bottom="1242" w:left="1669" w:header="720" w:footer="720" w:gutter="0"/>
          <w:cols w:space="720"/>
          <w:noEndnote/>
        </w:sectPr>
      </w:pPr>
    </w:p>
    <w:p w:rsidR="00835A38" w:rsidRDefault="00835A38" w:rsidP="00835A38">
      <w:pPr>
        <w:pStyle w:val="Style3"/>
        <w:kinsoku w:val="0"/>
        <w:autoSpaceDE/>
        <w:autoSpaceDN/>
        <w:adjustRightInd/>
        <w:spacing w:line="278" w:lineRule="exact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lastRenderedPageBreak/>
        <w:t xml:space="preserve">SEXTO: </w:t>
      </w:r>
      <w:r>
        <w:rPr>
          <w:rStyle w:val="CharacterStyle4"/>
          <w:spacing w:val="8"/>
          <w:w w:val="105"/>
          <w:sz w:val="24"/>
          <w:szCs w:val="24"/>
          <w:lang w:val="es-ES" w:eastAsia="es-ES"/>
        </w:rPr>
        <w:t xml:space="preserve">El Consejo de Transporte Público, mediante Artículo N° 1 de la Sesión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75-A a La Gaceta N° 207, de fecha 29 de octubre del 2001, según Acuerdo N° 3 notificó 1: que acudirán a procedimiento aleatorio todos los oferentes que obtuvieron una calificación 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igual a 100 puntos en la base de operación 202019, sin incluir al recurrente, en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modalidad de vehículos regulares.</w:t>
      </w:r>
    </w:p>
    <w:p w:rsidR="00835A38" w:rsidRDefault="00835A38" w:rsidP="00835A38">
      <w:pPr>
        <w:pStyle w:val="Style4"/>
        <w:kinsoku w:val="0"/>
        <w:autoSpaceDE/>
        <w:autoSpaceDN/>
        <w:spacing w:line="278" w:lineRule="exact"/>
        <w:ind w:firstLine="0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SETIMO: </w:t>
      </w:r>
      <w:r>
        <w:rPr>
          <w:spacing w:val="4"/>
          <w:w w:val="105"/>
          <w:lang w:val="es-ES" w:eastAsia="es-ES"/>
        </w:rPr>
        <w:t xml:space="preserve">Que el señor MA presentó ante este Tribunal, en fecha 5 de </w:t>
      </w:r>
      <w:r>
        <w:rPr>
          <w:spacing w:val="10"/>
          <w:w w:val="105"/>
          <w:lang w:val="es-ES" w:eastAsia="es-ES"/>
        </w:rPr>
        <w:t xml:space="preserve">noviembre del 2001, Recurso de Apelación contra el Acuerdo 1° de la Sesión </w:t>
      </w:r>
      <w:r>
        <w:rPr>
          <w:spacing w:val="-3"/>
          <w:w w:val="105"/>
          <w:lang w:val="es-ES" w:eastAsia="es-ES"/>
        </w:rPr>
        <w:t xml:space="preserve">Extraordinaria 037-2001 de Junta Directiva del Consejo de Transporte Público y publicado </w:t>
      </w:r>
      <w:r>
        <w:rPr>
          <w:spacing w:val="-1"/>
          <w:w w:val="105"/>
          <w:lang w:val="es-ES" w:eastAsia="es-ES"/>
        </w:rPr>
        <w:t xml:space="preserve">al Alcance número 75-A a La Gaceta 207 de fecha 29 de octubre del 2001, indicando que </w:t>
      </w:r>
      <w:r>
        <w:rPr>
          <w:spacing w:val="-6"/>
          <w:w w:val="105"/>
          <w:lang w:val="es-ES" w:eastAsia="es-ES"/>
        </w:rPr>
        <w:t xml:space="preserve">no se explica por qué si en las dos primeras publicaciones había salido "adjudicado" con 80 </w:t>
      </w:r>
      <w:r>
        <w:rPr>
          <w:spacing w:val="-4"/>
          <w:w w:val="105"/>
          <w:lang w:val="es-ES" w:eastAsia="es-ES"/>
        </w:rPr>
        <w:t>puntos, no se le toma en cuenta en la última Gaceta.</w:t>
      </w:r>
    </w:p>
    <w:p w:rsidR="00835A38" w:rsidRDefault="00835A38" w:rsidP="00835A38">
      <w:pPr>
        <w:pStyle w:val="Style3"/>
        <w:kinsoku w:val="0"/>
        <w:autoSpaceDE/>
        <w:autoSpaceDN/>
        <w:adjustRightInd/>
        <w:spacing w:before="180" w:line="434" w:lineRule="exact"/>
        <w:ind w:right="576"/>
        <w:rPr>
          <w:rStyle w:val="CharacterStyle4"/>
          <w:rFonts w:ascii="Garamond" w:hAnsi="Garamond" w:cs="Garamond"/>
          <w:spacing w:val="-2"/>
          <w:w w:val="105"/>
          <w:sz w:val="27"/>
          <w:szCs w:val="27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la Jueza Pérez Peláez; </w:t>
      </w:r>
      <w:r>
        <w:rPr>
          <w:rStyle w:val="CharacterStyle4"/>
          <w:rFonts w:ascii="Garamond" w:hAnsi="Garamond" w:cs="Garamond"/>
          <w:spacing w:val="-2"/>
          <w:w w:val="105"/>
          <w:sz w:val="27"/>
          <w:szCs w:val="27"/>
          <w:lang w:val="es-ES" w:eastAsia="es-ES"/>
        </w:rPr>
        <w:t>y,</w:t>
      </w:r>
    </w:p>
    <w:p w:rsidR="00835A38" w:rsidRDefault="00835A38" w:rsidP="00835A38">
      <w:pPr>
        <w:pStyle w:val="Style3"/>
        <w:kinsoku w:val="0"/>
        <w:autoSpaceDE/>
        <w:autoSpaceDN/>
        <w:adjustRightInd/>
        <w:spacing w:before="540" w:line="240" w:lineRule="exact"/>
        <w:ind w:left="3384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835A38" w:rsidRDefault="00835A38" w:rsidP="00835A38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rPr>
          <w:spacing w:val="-4"/>
          <w:w w:val="105"/>
          <w:lang w:val="es-ES" w:eastAsia="es-ES"/>
        </w:rPr>
      </w:pPr>
      <w:r>
        <w:rPr>
          <w:b/>
          <w:bCs/>
          <w:spacing w:val="5"/>
          <w:w w:val="105"/>
          <w:lang w:val="es-ES" w:eastAsia="es-ES"/>
        </w:rPr>
        <w:t xml:space="preserve">SOBRE LA COMPETENCIA: </w:t>
      </w:r>
      <w:r>
        <w:rPr>
          <w:spacing w:val="5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835A38" w:rsidRDefault="00835A38" w:rsidP="00835A38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 w:line="274" w:lineRule="exact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spacing w:val="-8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w w:val="105"/>
          <w:lang w:val="es-ES" w:eastAsia="es-ES"/>
        </w:rPr>
        <w:t xml:space="preserve">MA,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835A38" w:rsidRDefault="00835A38" w:rsidP="00835A38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 w:line="273" w:lineRule="exact"/>
        <w:ind w:right="216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importancia para la decisión de este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sido acreditados: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A).-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Que mediante Decreto Ejecutivo N° 28913-MOPT y su reforma,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PRIMER PROCEDIMIENTO ESPECIAL ABREVIADO PARA EL TRANSPORTE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REMUNERADO DE PERSONAS EN VEHICULOS EN LA MODALIDAD DE TAXI"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B).- </w:t>
      </w:r>
      <w:r>
        <w:rPr>
          <w:rStyle w:val="CharacterStyle4"/>
          <w:w w:val="105"/>
          <w:sz w:val="24"/>
          <w:szCs w:val="24"/>
          <w:lang w:val="es-ES" w:eastAsia="es-ES"/>
        </w:rPr>
        <w:t>Que mediante formulario N° …, de fecha 16 de febrero de 2001, el recurrente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800" w:right="1478" w:bottom="910" w:left="1542" w:header="720" w:footer="720" w:gutter="0"/>
          <w:cols w:space="720"/>
          <w:noEndnote/>
        </w:sectPr>
      </w:pPr>
    </w:p>
    <w:p w:rsidR="00835A38" w:rsidRDefault="00835A38" w:rsidP="00835A38">
      <w:pPr>
        <w:pStyle w:val="Style3"/>
        <w:kinsoku w:val="0"/>
        <w:autoSpaceDE/>
        <w:autoSpaceDN/>
        <w:adjustRightInd/>
        <w:ind w:left="72" w:right="144"/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lastRenderedPageBreak/>
        <w:t>participó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en el concurso público, ante el Consejo de Transporte Público, ofertando para la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base de operación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202019,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 vehículo tipo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SEDAN.</w:t>
      </w:r>
    </w:p>
    <w:p w:rsidR="00835A38" w:rsidRDefault="00835A38" w:rsidP="00835A38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828" w:line="213" w:lineRule="auto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835A38" w:rsidRDefault="00835A38" w:rsidP="00835A38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835A38" w:rsidRDefault="00835A38" w:rsidP="00835A38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576" w:line="204" w:lineRule="auto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835A38" w:rsidRDefault="00835A38" w:rsidP="00835A38">
      <w:pPr>
        <w:pStyle w:val="Style6"/>
        <w:kinsoku w:val="0"/>
        <w:autoSpaceDE/>
        <w:autoSpaceDN/>
        <w:rPr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Analizado el escrito presentado por el señor </w:t>
      </w:r>
      <w:r>
        <w:rPr>
          <w:b/>
          <w:bCs/>
          <w:spacing w:val="-1"/>
          <w:w w:val="105"/>
          <w:lang w:val="es-ES" w:eastAsia="es-ES"/>
        </w:rPr>
        <w:t xml:space="preserve">MA, </w:t>
      </w:r>
      <w:r>
        <w:rPr>
          <w:spacing w:val="-1"/>
          <w:w w:val="105"/>
          <w:lang w:val="es-ES" w:eastAsia="es-ES"/>
        </w:rPr>
        <w:t xml:space="preserve">encabezado como "Recurso </w:t>
      </w:r>
      <w:r>
        <w:rPr>
          <w:spacing w:val="-2"/>
          <w:w w:val="105"/>
          <w:lang w:val="es-ES" w:eastAsia="es-ES"/>
        </w:rPr>
        <w:t xml:space="preserve">de Apelación" en el fondo el mismo se reduce a pedir una explicación por no habérsele </w:t>
      </w:r>
      <w:r>
        <w:rPr>
          <w:spacing w:val="7"/>
          <w:w w:val="105"/>
          <w:lang w:val="es-ES" w:eastAsia="es-ES"/>
        </w:rPr>
        <w:t xml:space="preserve">tomado en cuenta en la publicación impugnada, siendo que no aparece entre los </w:t>
      </w:r>
      <w:r>
        <w:rPr>
          <w:spacing w:val="-3"/>
          <w:w w:val="105"/>
          <w:lang w:val="es-ES" w:eastAsia="es-ES"/>
        </w:rPr>
        <w:t xml:space="preserve">adjudicatarios directos ni entre los oferentes que deberán acudir al procedimiento aleatorio, </w:t>
      </w:r>
      <w:r>
        <w:rPr>
          <w:spacing w:val="-5"/>
          <w:w w:val="105"/>
          <w:lang w:val="es-ES" w:eastAsia="es-ES"/>
        </w:rPr>
        <w:t xml:space="preserve">de lo cual se infiere su intención de ser incluido en los listados. De la anterior situación se </w:t>
      </w:r>
      <w:r>
        <w:rPr>
          <w:spacing w:val="-7"/>
          <w:w w:val="105"/>
          <w:lang w:val="es-ES" w:eastAsia="es-ES"/>
        </w:rPr>
        <w:t xml:space="preserve">plantean varios aspectos, los que conducen todos al rechazo de la gestión por los siguientes </w:t>
      </w:r>
      <w:r>
        <w:rPr>
          <w:w w:val="105"/>
          <w:lang w:val="es-ES" w:eastAsia="es-ES"/>
        </w:rPr>
        <w:t>motivos:</w:t>
      </w:r>
    </w:p>
    <w:p w:rsidR="00835A38" w:rsidRDefault="00835A38" w:rsidP="00835A38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A.- </w:t>
      </w:r>
      <w:r>
        <w:rPr>
          <w:spacing w:val="-6"/>
          <w:w w:val="105"/>
          <w:lang w:val="es-ES" w:eastAsia="es-ES"/>
        </w:rPr>
        <w:t xml:space="preserve">La indicación de la base de operación, aunado al hecho del vehículo con el cual se </w:t>
      </w:r>
      <w:proofErr w:type="spellStart"/>
      <w:r>
        <w:rPr>
          <w:spacing w:val="-6"/>
          <w:w w:val="105"/>
          <w:lang w:val="es-ES" w:eastAsia="es-ES"/>
        </w:rPr>
        <w:t>esta</w:t>
      </w:r>
      <w:proofErr w:type="spellEnd"/>
      <w:r>
        <w:rPr>
          <w:spacing w:val="-6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 xml:space="preserve">participando, en este caso un vehículo tipo SEDAN en la base 202019, es precisamente la </w:t>
      </w:r>
      <w:r>
        <w:rPr>
          <w:spacing w:val="-4"/>
          <w:w w:val="105"/>
          <w:lang w:val="es-ES" w:eastAsia="es-ES"/>
        </w:rPr>
        <w:t>situación jurídica a determinar por las siguientes razones.</w:t>
      </w:r>
    </w:p>
    <w:p w:rsidR="00835A38" w:rsidRDefault="00835A38" w:rsidP="00835A38">
      <w:pPr>
        <w:pStyle w:val="Style5"/>
        <w:kinsoku w:val="0"/>
        <w:autoSpaceDE/>
        <w:autoSpaceDN/>
        <w:ind w:right="14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De conformidad con el Decreto Ejecutivo N° 28913-MOPT y sus reformas, se indica </w:t>
      </w:r>
      <w:r>
        <w:rPr>
          <w:spacing w:val="-4"/>
          <w:w w:val="105"/>
          <w:lang w:val="es-ES" w:eastAsia="es-ES"/>
        </w:rPr>
        <w:t xml:space="preserve">claramente en su </w:t>
      </w:r>
      <w:r>
        <w:rPr>
          <w:b/>
          <w:bCs/>
          <w:spacing w:val="-4"/>
          <w:w w:val="105"/>
          <w:lang w:val="es-ES" w:eastAsia="es-ES"/>
        </w:rPr>
        <w:t xml:space="preserve">numeral 1, en su NOTA II </w:t>
      </w:r>
      <w:r>
        <w:rPr>
          <w:spacing w:val="-4"/>
          <w:w w:val="105"/>
          <w:lang w:val="es-ES" w:eastAsia="es-ES"/>
        </w:rPr>
        <w:t>lo siguiente:</w:t>
      </w:r>
    </w:p>
    <w:p w:rsidR="00835A38" w:rsidRDefault="00835A38" w:rsidP="00835A38">
      <w:pPr>
        <w:pStyle w:val="Style3"/>
        <w:kinsoku w:val="0"/>
        <w:autoSpaceDE/>
        <w:autoSpaceDN/>
        <w:adjustRightInd/>
        <w:spacing w:before="288"/>
        <w:ind w:left="72" w:right="144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"NOTA II: </w:t>
      </w:r>
      <w:r>
        <w:rPr>
          <w:rStyle w:val="CharacterStyle4"/>
          <w:b/>
          <w:bCs/>
          <w:i/>
          <w:iCs/>
          <w:spacing w:val="3"/>
          <w:w w:val="105"/>
          <w:sz w:val="24"/>
          <w:szCs w:val="24"/>
          <w:u w:val="single"/>
          <w:lang w:val="es-ES" w:eastAsia="es-ES"/>
        </w:rPr>
        <w:t xml:space="preserve">Se indican con asterisco (*) las bases de operación para las cuales se </w:t>
      </w:r>
      <w:r>
        <w:rPr>
          <w:rStyle w:val="CharacterStyle4"/>
          <w:b/>
          <w:bCs/>
          <w:i/>
          <w:iCs/>
          <w:spacing w:val="12"/>
          <w:w w:val="105"/>
          <w:sz w:val="24"/>
          <w:szCs w:val="24"/>
          <w:u w:val="single"/>
          <w:lang w:val="es-ES" w:eastAsia="es-ES"/>
        </w:rPr>
        <w:t>aceptarán ofertas únicamente para vehículos tipo rural</w:t>
      </w:r>
      <w:r>
        <w:rPr>
          <w:rStyle w:val="CharacterStyle4"/>
          <w:i/>
          <w:iCs/>
          <w:spacing w:val="12"/>
          <w:w w:val="105"/>
          <w:sz w:val="24"/>
          <w:szCs w:val="24"/>
          <w:lang w:val="es-ES" w:eastAsia="es-ES"/>
        </w:rPr>
        <w:t xml:space="preserve"> de acuerdo con las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especificaciones técnicas señaladas en el presente reglamento.</w:t>
      </w:r>
    </w:p>
    <w:p w:rsidR="00835A38" w:rsidRDefault="00835A38" w:rsidP="00835A38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proofErr w:type="spellStart"/>
      <w:r>
        <w:rPr>
          <w:b/>
          <w:bCs/>
          <w:i/>
          <w:iCs/>
          <w:w w:val="105"/>
          <w:u w:val="single"/>
          <w:lang w:val="es-ES" w:eastAsia="es-ES"/>
        </w:rPr>
        <w:t>Unicamente</w:t>
      </w:r>
      <w:proofErr w:type="spellEnd"/>
      <w:r>
        <w:rPr>
          <w:b/>
          <w:bCs/>
          <w:i/>
          <w:iCs/>
          <w:w w:val="105"/>
          <w:u w:val="single"/>
          <w:lang w:val="es-ES" w:eastAsia="es-ES"/>
        </w:rPr>
        <w:t xml:space="preserve"> para vehículos de tipo rural</w:t>
      </w:r>
      <w:r>
        <w:rPr>
          <w:i/>
          <w:iCs/>
          <w:w w:val="105"/>
          <w:lang w:val="es-ES" w:eastAsia="es-ES"/>
        </w:rPr>
        <w:t xml:space="preserve"> de acuerdo con las especificaciones;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dichas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bases se codifican con un número nueve (9) al final de la numeración"</w:t>
      </w:r>
      <w:r>
        <w:rPr>
          <w:spacing w:val="-6"/>
          <w:w w:val="105"/>
          <w:lang w:val="es-ES" w:eastAsia="es-ES"/>
        </w:rPr>
        <w:t xml:space="preserve"> (Lo destacado y </w:t>
      </w:r>
      <w:r>
        <w:rPr>
          <w:spacing w:val="-4"/>
          <w:w w:val="105"/>
          <w:lang w:val="es-ES" w:eastAsia="es-ES"/>
        </w:rPr>
        <w:t>subrayado no pertenece al original)</w:t>
      </w:r>
    </w:p>
    <w:p w:rsidR="00835A38" w:rsidRDefault="00835A38" w:rsidP="00835A38">
      <w:pPr>
        <w:pStyle w:val="Style5"/>
        <w:kinsoku w:val="0"/>
        <w:autoSpaceDE/>
        <w:autoSpaceDN/>
        <w:ind w:right="144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De esa condición y en concordancia con lo que dispone el reglamento de cita, se lee </w:t>
      </w:r>
      <w:r>
        <w:rPr>
          <w:spacing w:val="-4"/>
          <w:w w:val="105"/>
          <w:lang w:val="es-ES" w:eastAsia="es-ES"/>
        </w:rPr>
        <w:t>claramente para la base de operación 202019 lo siguiente:</w:t>
      </w:r>
    </w:p>
    <w:p w:rsidR="00835A38" w:rsidRDefault="00835A38" w:rsidP="00835A38">
      <w:pPr>
        <w:pStyle w:val="Style5"/>
        <w:tabs>
          <w:tab w:val="right" w:pos="9005"/>
        </w:tabs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spacing w:val="6"/>
          <w:w w:val="105"/>
          <w:lang w:val="es-ES" w:eastAsia="es-ES"/>
        </w:rPr>
        <w:t>"202019 SAN RAMON San Ramón</w:t>
      </w:r>
      <w:r>
        <w:rPr>
          <w:spacing w:val="6"/>
          <w:w w:val="105"/>
          <w:lang w:val="es-ES" w:eastAsia="es-ES"/>
        </w:rPr>
        <w:tab/>
      </w:r>
      <w:r>
        <w:rPr>
          <w:spacing w:val="-3"/>
          <w:w w:val="105"/>
          <w:lang w:val="es-ES" w:eastAsia="es-ES"/>
        </w:rPr>
        <w:t>AM de San Ramón (vehículos rurales) (2)"</w:t>
      </w:r>
    </w:p>
    <w:p w:rsidR="00835A38" w:rsidRDefault="00835A38" w:rsidP="00835A38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...Nota (2) El </w:t>
      </w:r>
      <w:proofErr w:type="spellStart"/>
      <w:r>
        <w:rPr>
          <w:spacing w:val="-5"/>
          <w:w w:val="105"/>
          <w:lang w:val="es-ES" w:eastAsia="es-ES"/>
        </w:rPr>
        <w:t>Area</w:t>
      </w:r>
      <w:proofErr w:type="spellEnd"/>
      <w:r>
        <w:rPr>
          <w:spacing w:val="-5"/>
          <w:w w:val="105"/>
          <w:lang w:val="es-ES" w:eastAsia="es-ES"/>
        </w:rPr>
        <w:t xml:space="preserve"> Metropolitana de San Ramón está conformada por los Distritos de San </w:t>
      </w:r>
      <w:r>
        <w:rPr>
          <w:spacing w:val="-4"/>
          <w:w w:val="105"/>
          <w:lang w:val="es-ES" w:eastAsia="es-ES"/>
        </w:rPr>
        <w:t>Ramón, Santiago, San Juan, San Isidro y Alfaro, todo bajo los mismos códigos 202010 y 202019, dependiendo del tipo de vehículo"</w:t>
      </w:r>
    </w:p>
    <w:p w:rsidR="00835A38" w:rsidRDefault="00835A38" w:rsidP="00835A38">
      <w:pPr>
        <w:pStyle w:val="Style6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podrá observar el recurrente de la transcripción de las citas reglamentarias para </w:t>
      </w:r>
      <w:r>
        <w:rPr>
          <w:spacing w:val="-3"/>
          <w:w w:val="105"/>
          <w:lang w:val="es-ES" w:eastAsia="es-ES"/>
        </w:rPr>
        <w:t xml:space="preserve">participar en la base de operación de SAN RAMON se debía haber escogido, de acuerdo a </w:t>
      </w:r>
      <w:r>
        <w:rPr>
          <w:spacing w:val="-4"/>
          <w:w w:val="105"/>
          <w:lang w:val="es-ES" w:eastAsia="es-ES"/>
        </w:rPr>
        <w:t xml:space="preserve">sus intereses, la base por numeración por la cual se estaba participando, sea en la modalidad </w:t>
      </w:r>
      <w:r>
        <w:rPr>
          <w:spacing w:val="-5"/>
          <w:w w:val="105"/>
          <w:lang w:val="es-ES" w:eastAsia="es-ES"/>
        </w:rPr>
        <w:t xml:space="preserve">de vehículos tipo sedan que correspondía a la serie 202010 o la serie 202019 vehículos tipo </w:t>
      </w:r>
      <w:r>
        <w:rPr>
          <w:spacing w:val="-4"/>
          <w:w w:val="105"/>
          <w:lang w:val="es-ES" w:eastAsia="es-ES"/>
        </w:rPr>
        <w:t>rural, y así haberse indicado en la oferta de forma concordante con lo que se solicitaba.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800" w:right="1487" w:bottom="1170" w:left="1533" w:header="720" w:footer="720" w:gutter="0"/>
          <w:cols w:space="720"/>
          <w:noEndnote/>
        </w:sectPr>
      </w:pPr>
    </w:p>
    <w:p w:rsidR="00835A38" w:rsidRDefault="00835A38" w:rsidP="00835A38">
      <w:pPr>
        <w:pStyle w:val="Style6"/>
        <w:kinsoku w:val="0"/>
        <w:autoSpaceDE/>
        <w:autoSpaceDN/>
        <w:spacing w:before="0"/>
        <w:ind w:left="144"/>
        <w:rPr>
          <w:spacing w:val="-3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76.4pt;width:458pt;height:28.3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35A38" w:rsidRDefault="00835A38" w:rsidP="00835A38">
                  <w:pPr>
                    <w:pStyle w:val="Style3"/>
                    <w:kinsoku w:val="0"/>
                    <w:autoSpaceDE/>
                    <w:autoSpaceDN/>
                    <w:adjustRightInd/>
                    <w:jc w:val="center"/>
                    <w:rPr>
                      <w:rStyle w:val="CharacterStyle4"/>
                      <w:spacing w:val="2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spacing w:val="1"/>
                      <w:w w:val="105"/>
                      <w:sz w:val="24"/>
                      <w:szCs w:val="24"/>
                      <w:lang w:val="es-ES" w:eastAsia="es-ES"/>
                    </w:rPr>
                    <w:t>El hecho de que el oferente hubiese indicado dentro de su oferta una base de operación</w:t>
                  </w:r>
                  <w:r>
                    <w:rPr>
                      <w:rStyle w:val="CharacterStyle4"/>
                      <w:spacing w:val="1"/>
                      <w:w w:val="105"/>
                      <w:sz w:val="24"/>
                      <w:szCs w:val="24"/>
                      <w:lang w:val="es-ES" w:eastAsia="es-ES"/>
                    </w:rPr>
                    <w:br/>
                  </w:r>
                  <w:r>
                    <w:rPr>
                      <w:rStyle w:val="CharacterStyle4"/>
                      <w:spacing w:val="2"/>
                      <w:w w:val="105"/>
                      <w:sz w:val="24"/>
                      <w:szCs w:val="24"/>
                      <w:lang w:val="es-ES" w:eastAsia="es-ES"/>
                    </w:rPr>
                    <w:t>diferente a la modalidad de vehículo por el cual estaba participando, es un elemento o</w:t>
                  </w:r>
                </w:p>
              </w:txbxContent>
            </v:textbox>
            <w10:wrap type="square"/>
          </v:shape>
        </w:pict>
      </w:r>
      <w:r>
        <w:rPr>
          <w:spacing w:val="-1"/>
          <w:w w:val="105"/>
          <w:lang w:val="es-ES" w:eastAsia="es-ES"/>
        </w:rPr>
        <w:t xml:space="preserve">En esa situación, y al haberse indicado una base con terminación nueve (9), no pwlí4 </w:t>
      </w:r>
      <w:r>
        <w:rPr>
          <w:spacing w:val="-4"/>
          <w:w w:val="105"/>
          <w:lang w:val="es-ES" w:eastAsia="es-ES"/>
        </w:rPr>
        <w:t xml:space="preserve">suscribir el oferente su ejercicio con un vehículo tipo SEDAN, </w:t>
      </w:r>
      <w:r>
        <w:rPr>
          <w:i/>
          <w:iCs/>
          <w:spacing w:val="-4"/>
          <w:w w:val="105"/>
          <w:lang w:val="es-ES" w:eastAsia="es-ES"/>
        </w:rPr>
        <w:t xml:space="preserve">(para el caso del aquí </w:t>
      </w:r>
      <w:r>
        <w:rPr>
          <w:i/>
          <w:iCs/>
          <w:spacing w:val="-7"/>
          <w:w w:val="105"/>
          <w:lang w:val="es-ES" w:eastAsia="es-ES"/>
        </w:rPr>
        <w:t xml:space="preserve">apelante la condición de haber indicado en la base de operación 202019 la modalidad de </w:t>
      </w:r>
      <w:r>
        <w:rPr>
          <w:i/>
          <w:iCs/>
          <w:spacing w:val="-3"/>
          <w:w w:val="105"/>
          <w:lang w:val="es-ES" w:eastAsia="es-ES"/>
        </w:rPr>
        <w:t xml:space="preserve">vehículos </w:t>
      </w:r>
      <w:r>
        <w:rPr>
          <w:rFonts w:ascii="Bookman Old Style" w:hAnsi="Bookman Old Style" w:cs="Bookman Old Style"/>
          <w:i/>
          <w:iCs/>
          <w:spacing w:val="-3"/>
          <w:w w:val="105"/>
          <w:sz w:val="21"/>
          <w:szCs w:val="21"/>
          <w:lang w:val="es-ES" w:eastAsia="es-ES"/>
        </w:rPr>
        <w:t xml:space="preserve">tipo </w:t>
      </w:r>
      <w:r>
        <w:rPr>
          <w:i/>
          <w:iCs/>
          <w:spacing w:val="-3"/>
          <w:w w:val="105"/>
          <w:lang w:val="es-ES" w:eastAsia="es-ES"/>
        </w:rPr>
        <w:t xml:space="preserve">sedán, cuando en ella correspondía la numeración 202010) </w:t>
      </w:r>
      <w:r>
        <w:rPr>
          <w:spacing w:val="-3"/>
          <w:w w:val="105"/>
          <w:lang w:val="es-ES" w:eastAsia="es-ES"/>
        </w:rPr>
        <w:t xml:space="preserve">es decir, si esa </w:t>
      </w:r>
      <w:r>
        <w:rPr>
          <w:spacing w:val="-2"/>
          <w:w w:val="105"/>
          <w:lang w:val="es-ES" w:eastAsia="es-ES"/>
        </w:rPr>
        <w:t xml:space="preserve">era su posición, debió advertir bajo la numeración correspondiente la concordancia ideal </w:t>
      </w:r>
      <w:r>
        <w:rPr>
          <w:spacing w:val="-5"/>
          <w:w w:val="105"/>
          <w:lang w:val="es-ES" w:eastAsia="es-ES"/>
        </w:rPr>
        <w:t xml:space="preserve">para resultar adjudicatario de un servicio de transporte público en la modalidad de vehículo </w:t>
      </w:r>
      <w:r>
        <w:rPr>
          <w:spacing w:val="-3"/>
          <w:w w:val="105"/>
          <w:lang w:val="es-ES" w:eastAsia="es-ES"/>
        </w:rPr>
        <w:t>tipo sedán, bajo la terminación de la base cero (0)</w:t>
      </w:r>
    </w:p>
    <w:p w:rsidR="00835A38" w:rsidRDefault="00835A38" w:rsidP="00835A38">
      <w:pPr>
        <w:pStyle w:val="Style3"/>
        <w:kinsoku w:val="0"/>
        <w:autoSpaceDE/>
        <w:autoSpaceDN/>
        <w:adjustRightInd/>
        <w:spacing w:before="288"/>
        <w:ind w:left="144" w:right="14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En ese orden de ideas, ha establecido reiteradamente este Tribunal, que de acuerdo con el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artículo 49.2 del Reglamento General de Contratación Administrativa,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"La sola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presentación de la oferta se entenderá como una manifestación inequívoca de la voluntad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del oferente de contratar con pleno conocimiento a las condiciones y especificaciones del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cartel y las disposiciones legales y reglamentarias pertinentes".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El Reglamento que ha servido de base a este proceso de licitación fue dado a conocer con suficiente antelación y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en él se especificaban claramente cada una de las bases con la indicación del tipo de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vehículo que participaba en cada una de ellas. Los oferentes con la sola presentación de la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oferta quedaron sujetos a las condiciones que el Reglamento estableció y manifestaron su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voluntad de participar en una determinada base con un vehículo que no correspondía.</w:t>
      </w:r>
    </w:p>
    <w:p w:rsidR="00835A38" w:rsidRDefault="00835A38" w:rsidP="00835A38">
      <w:pPr>
        <w:pStyle w:val="Style6"/>
        <w:kinsoku w:val="0"/>
        <w:autoSpaceDE/>
        <w:autoSpaceDN/>
        <w:ind w:left="144"/>
        <w:rPr>
          <w:spacing w:val="-5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Ahora bien, de ese hecho se generó la exclusión del recurrente como adjudicatario directo, </w:t>
      </w:r>
      <w:r>
        <w:rPr>
          <w:spacing w:val="-3"/>
          <w:w w:val="105"/>
          <w:lang w:val="es-ES" w:eastAsia="es-ES"/>
        </w:rPr>
        <w:t xml:space="preserve">e inclusive para la participación de un proceso aleatorio, en el tanto la presentación de la </w:t>
      </w:r>
      <w:r>
        <w:rPr>
          <w:spacing w:val="-1"/>
          <w:w w:val="105"/>
          <w:lang w:val="es-ES" w:eastAsia="es-ES"/>
        </w:rPr>
        <w:t xml:space="preserve">oferta, configuró una omisión a los requisitos formales solicitados por el reglamento de </w:t>
      </w:r>
      <w:r>
        <w:rPr>
          <w:spacing w:val="-5"/>
          <w:w w:val="105"/>
          <w:lang w:val="es-ES" w:eastAsia="es-ES"/>
        </w:rPr>
        <w:t>cita, según los hechos argumentados.</w:t>
      </w:r>
    </w:p>
    <w:p w:rsidR="00835A38" w:rsidRDefault="00835A38" w:rsidP="00835A38">
      <w:pPr>
        <w:pStyle w:val="Style6"/>
        <w:kinsoku w:val="0"/>
        <w:autoSpaceDE/>
        <w:autoSpaceDN/>
        <w:ind w:left="144"/>
        <w:rPr>
          <w:spacing w:val="-3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Lo anterior en virtud de que la falta de concordancia apuntada es un error insubsanable de </w:t>
      </w:r>
      <w:r>
        <w:rPr>
          <w:spacing w:val="-2"/>
          <w:w w:val="105"/>
          <w:lang w:val="es-ES" w:eastAsia="es-ES"/>
        </w:rPr>
        <w:t xml:space="preserve">conformidad con las indicaciones inmersas dentro de la oferta, el reglamento de referencia </w:t>
      </w:r>
      <w:r>
        <w:rPr>
          <w:spacing w:val="-3"/>
          <w:w w:val="105"/>
          <w:lang w:val="es-ES" w:eastAsia="es-ES"/>
        </w:rPr>
        <w:t xml:space="preserve">y conforme lo que estableció el voto 998-98 la Sala Constitucional cuando dispuso con claridad que: "la subsanación de defectos en las ofertas, solo obedece a faltas menores que </w:t>
      </w:r>
      <w:r>
        <w:rPr>
          <w:spacing w:val="-7"/>
          <w:w w:val="105"/>
          <w:lang w:val="es-ES" w:eastAsia="es-ES"/>
        </w:rPr>
        <w:t xml:space="preserve">no varían el contenido de la misma o la evaluación de ellas y que la presentación errónea o </w:t>
      </w:r>
      <w:r>
        <w:rPr>
          <w:spacing w:val="-3"/>
          <w:w w:val="105"/>
          <w:lang w:val="es-ES" w:eastAsia="es-ES"/>
        </w:rPr>
        <w:t>defectuosa de requisitos sustanciales que varíen esa evaluación no es admisible."</w:t>
      </w:r>
    </w:p>
    <w:p w:rsidR="00835A38" w:rsidRDefault="00835A38" w:rsidP="00835A38">
      <w:pPr>
        <w:pStyle w:val="Style6"/>
        <w:kinsoku w:val="0"/>
        <w:autoSpaceDE/>
        <w:autoSpaceDN/>
        <w:ind w:left="144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9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835A38" w:rsidRDefault="00835A38" w:rsidP="00835A38">
      <w:pPr>
        <w:pStyle w:val="Style3"/>
        <w:kinsoku w:val="0"/>
        <w:autoSpaceDE/>
        <w:autoSpaceDN/>
        <w:adjustRightInd/>
        <w:spacing w:before="216"/>
        <w:ind w:left="72" w:right="144" w:firstLine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>mas</w:t>
      </w:r>
      <w:proofErr w:type="spellEnd"/>
      <w:proofErr w:type="gramEnd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debidamente consignado (asentado y referenciado) en la oferta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(Oficio N° 1390 DGCA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softHyphen/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154-99, del 11 de febrero de 1999).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780" w:right="1591" w:bottom="1202" w:left="1429" w:header="720" w:footer="720" w:gutter="0"/>
          <w:cols w:space="720"/>
          <w:noEndnote/>
        </w:sectPr>
      </w:pPr>
    </w:p>
    <w:p w:rsidR="00835A38" w:rsidRDefault="00835A38" w:rsidP="00835A38">
      <w:pPr>
        <w:pStyle w:val="Style7"/>
        <w:kinsoku w:val="0"/>
        <w:autoSpaceDE/>
        <w:autoSpaceDN/>
        <w:ind w:right="72"/>
        <w:rPr>
          <w:rStyle w:val="CharacterStyle7"/>
          <w:rFonts w:ascii="Garamond" w:hAnsi="Garamond" w:cs="Garamond"/>
          <w:spacing w:val="-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609.5pt;width:458pt;height:28.3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35A38" w:rsidRDefault="00835A38" w:rsidP="00835A38">
                  <w:pPr>
                    <w:pStyle w:val="Style8"/>
                    <w:kinsoku w:val="0"/>
                    <w:autoSpaceDE/>
                    <w:autoSpaceDN/>
                    <w:ind w:right="216"/>
                    <w:rPr>
                      <w:rStyle w:val="CharacterStyle7"/>
                      <w:rFonts w:ascii="Garamond" w:hAnsi="Garamond" w:cs="Garamond"/>
                      <w:spacing w:val="-8"/>
                      <w:lang w:val="es-ES" w:eastAsia="es-ES"/>
                    </w:rPr>
                  </w:pPr>
                  <w:r>
                    <w:rPr>
                      <w:rStyle w:val="CharacterStyle7"/>
                      <w:rFonts w:ascii="Garamond" w:hAnsi="Garamond" w:cs="Garamond"/>
                      <w:spacing w:val="-8"/>
                      <w:lang w:val="es-ES" w:eastAsia="es-ES"/>
                    </w:rPr>
                    <w:t>Todos los argumentos aquí esbozados hacen mérito para declarar sin lugar el recurso de apelación presentado.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rStyle w:val="CharacterStyle7"/>
          <w:rFonts w:ascii="Garamond" w:hAnsi="Garamond" w:cs="Garamond"/>
          <w:spacing w:val="-9"/>
          <w:lang w:val="es-ES" w:eastAsia="es-ES"/>
        </w:rPr>
        <w:t>hecho</w:t>
      </w:r>
      <w:proofErr w:type="gramEnd"/>
      <w:r>
        <w:rPr>
          <w:rStyle w:val="CharacterStyle7"/>
          <w:rFonts w:ascii="Garamond" w:hAnsi="Garamond" w:cs="Garamond"/>
          <w:spacing w:val="-9"/>
          <w:lang w:val="es-ES" w:eastAsia="es-ES"/>
        </w:rPr>
        <w:t xml:space="preserve"> que por su naturaleza es imposible subsanar, toda vez que sería muy sencillo unid </w:t>
      </w:r>
      <w:proofErr w:type="spellStart"/>
      <w:r>
        <w:rPr>
          <w:rStyle w:val="CharacterStyle7"/>
          <w:rFonts w:ascii="Garamond" w:hAnsi="Garamond" w:cs="Garamond"/>
          <w:spacing w:val="-9"/>
          <w:lang w:val="es-ES" w:eastAsia="es-ES"/>
        </w:rPr>
        <w:t>tézi</w:t>
      </w:r>
      <w:proofErr w:type="spellEnd"/>
      <w:r>
        <w:rPr>
          <w:rStyle w:val="CharacterStyle7"/>
          <w:rFonts w:ascii="Garamond" w:hAnsi="Garamond" w:cs="Garamond"/>
          <w:spacing w:val="-9"/>
          <w:lang w:val="es-ES" w:eastAsia="es-ES"/>
        </w:rPr>
        <w:t xml:space="preserve"> </w:t>
      </w:r>
      <w:r>
        <w:rPr>
          <w:rStyle w:val="CharacterStyle7"/>
          <w:rFonts w:ascii="Garamond" w:hAnsi="Garamond" w:cs="Garamond"/>
          <w:spacing w:val="-5"/>
          <w:lang w:val="es-ES" w:eastAsia="es-ES"/>
        </w:rPr>
        <w:t xml:space="preserve">llevada a cabo la apertura de las ofertas, analizar en cuál de las demás bases de operación, existe mayor posibilidad, por número de ofertas, y así obtener una concesión y entonces </w:t>
      </w:r>
      <w:r>
        <w:rPr>
          <w:rStyle w:val="CharacterStyle7"/>
          <w:rFonts w:ascii="Garamond" w:hAnsi="Garamond" w:cs="Garamond"/>
          <w:spacing w:val="-8"/>
          <w:lang w:val="es-ES" w:eastAsia="es-ES"/>
        </w:rPr>
        <w:t xml:space="preserve">solicitar el cambio, situación que crearía gran incertidumbre y una desigualdad nociva para </w:t>
      </w:r>
      <w:r>
        <w:rPr>
          <w:rStyle w:val="CharacterStyle7"/>
          <w:rFonts w:ascii="Garamond" w:hAnsi="Garamond" w:cs="Garamond"/>
          <w:spacing w:val="-6"/>
          <w:lang w:val="es-ES" w:eastAsia="es-ES"/>
        </w:rPr>
        <w:t>cualquier proceso.</w:t>
      </w:r>
    </w:p>
    <w:p w:rsidR="00835A38" w:rsidRDefault="00835A38" w:rsidP="00835A38">
      <w:pPr>
        <w:pStyle w:val="Style8"/>
        <w:kinsoku w:val="0"/>
        <w:autoSpaceDE/>
        <w:autoSpaceDN/>
        <w:spacing w:before="288" w:line="196" w:lineRule="auto"/>
        <w:rPr>
          <w:rStyle w:val="CharacterStyle7"/>
          <w:rFonts w:ascii="Garamond" w:hAnsi="Garamond" w:cs="Garamond"/>
          <w:spacing w:val="-7"/>
          <w:lang w:val="es-ES" w:eastAsia="es-ES"/>
        </w:rPr>
      </w:pPr>
      <w:r>
        <w:rPr>
          <w:rStyle w:val="CharacterStyle7"/>
          <w:rFonts w:ascii="Garamond" w:hAnsi="Garamond" w:cs="Garamond"/>
          <w:spacing w:val="-4"/>
          <w:lang w:val="es-ES" w:eastAsia="es-ES"/>
        </w:rPr>
        <w:t>Sobre el particular la Contraloría General de la República mediante resolución No. R</w:t>
      </w:r>
      <w:r>
        <w:rPr>
          <w:rStyle w:val="CharacterStyle7"/>
          <w:rFonts w:ascii="Garamond" w:hAnsi="Garamond" w:cs="Garamond"/>
          <w:spacing w:val="-4"/>
          <w:lang w:val="es-ES" w:eastAsia="es-ES"/>
        </w:rPr>
        <w:softHyphen/>
      </w:r>
      <w:r>
        <w:rPr>
          <w:rStyle w:val="CharacterStyle7"/>
          <w:rFonts w:ascii="Garamond" w:hAnsi="Garamond" w:cs="Garamond"/>
          <w:spacing w:val="-7"/>
          <w:lang w:val="es-ES" w:eastAsia="es-ES"/>
        </w:rPr>
        <w:t>DAGJ-29-99 de las 15:30 horas del 15 de octubre de 1999, ha resuelto:</w:t>
      </w:r>
    </w:p>
    <w:p w:rsidR="00835A38" w:rsidRDefault="00835A38" w:rsidP="00835A38">
      <w:pPr>
        <w:pStyle w:val="Style9"/>
        <w:kinsoku w:val="0"/>
        <w:autoSpaceDE/>
        <w:autoSpaceDN/>
        <w:rPr>
          <w:rStyle w:val="CharacterStyle6"/>
          <w:i/>
          <w:spacing w:val="-2"/>
          <w:w w:val="105"/>
          <w:lang w:val="es-ES" w:eastAsia="es-ES"/>
        </w:rPr>
      </w:pPr>
      <w:r>
        <w:rPr>
          <w:rStyle w:val="CharacterStyle6"/>
          <w:i/>
          <w:spacing w:val="-5"/>
          <w:w w:val="105"/>
          <w:lang w:val="es-ES" w:eastAsia="es-ES"/>
        </w:rPr>
        <w:t xml:space="preserve">"Esta Contraloría General, ha sido clara en manifestar que, cualquier aspecto que pueda </w:t>
      </w:r>
      <w:r>
        <w:rPr>
          <w:rStyle w:val="CharacterStyle6"/>
          <w:i/>
          <w:spacing w:val="-3"/>
          <w:w w:val="105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>
        <w:rPr>
          <w:rStyle w:val="CharacterStyle6"/>
          <w:i/>
          <w:spacing w:val="-2"/>
          <w:w w:val="105"/>
          <w:lang w:val="es-ES" w:eastAsia="es-ES"/>
        </w:rPr>
        <w:t xml:space="preserve">nuestro oficio N° 9260 (DGCA-976-99) de 13 de agosto de 1999, hemos manifestado: </w:t>
      </w:r>
      <w:r>
        <w:rPr>
          <w:rStyle w:val="CharacterStyle6"/>
          <w:i/>
          <w:spacing w:val="-1"/>
          <w:w w:val="105"/>
          <w:lang w:val="es-ES" w:eastAsia="es-ES"/>
        </w:rPr>
        <w:t xml:space="preserve">"Asimismo, en aplicación de este principio [el de eficiencia] , la Administración está </w:t>
      </w:r>
      <w:r>
        <w:rPr>
          <w:rStyle w:val="CharacterStyle6"/>
          <w:i/>
          <w:spacing w:val="-3"/>
          <w:w w:val="105"/>
          <w:lang w:val="es-ES" w:eastAsia="es-ES"/>
        </w:rPr>
        <w:t xml:space="preserve">imposibilitada de conferir trato desigual a los participantes, por ejemplo, permitiéndole a </w:t>
      </w:r>
      <w:r>
        <w:rPr>
          <w:rStyle w:val="CharacterStyle6"/>
          <w:i/>
          <w:spacing w:val="-1"/>
          <w:w w:val="105"/>
          <w:lang w:val="es-ES" w:eastAsia="es-ES"/>
        </w:rPr>
        <w:t xml:space="preserve">unos sí y a otros no, subsanar aspectos incumplidos de la misma naturaleza (defectos </w:t>
      </w:r>
      <w:r>
        <w:rPr>
          <w:rStyle w:val="CharacterStyle6"/>
          <w:i/>
          <w:spacing w:val="-2"/>
          <w:w w:val="105"/>
          <w:lang w:val="es-ES" w:eastAsia="es-ES"/>
        </w:rPr>
        <w:t>formales trascendentes)</w:t>
      </w:r>
    </w:p>
    <w:p w:rsidR="00835A38" w:rsidRDefault="00835A38" w:rsidP="00835A38">
      <w:pPr>
        <w:pStyle w:val="Style7"/>
        <w:kinsoku w:val="0"/>
        <w:autoSpaceDE/>
        <w:autoSpaceDN/>
        <w:spacing w:before="396"/>
        <w:rPr>
          <w:rStyle w:val="CharacterStyle7"/>
          <w:rFonts w:ascii="Garamond" w:hAnsi="Garamond" w:cs="Garamond"/>
          <w:spacing w:val="-6"/>
          <w:lang w:val="es-ES" w:eastAsia="es-ES"/>
        </w:rPr>
      </w:pPr>
      <w:r>
        <w:rPr>
          <w:rStyle w:val="CharacterStyle7"/>
          <w:rFonts w:ascii="Garamond" w:hAnsi="Garamond" w:cs="Garamond"/>
          <w:spacing w:val="-5"/>
          <w:lang w:val="es-ES" w:eastAsia="es-ES"/>
        </w:rPr>
        <w:t xml:space="preserve">Esta situación pasó inadvertida en un principio por la Administración, tanto a la hora de </w:t>
      </w:r>
      <w:r>
        <w:rPr>
          <w:rStyle w:val="CharacterStyle7"/>
          <w:rFonts w:ascii="Garamond" w:hAnsi="Garamond" w:cs="Garamond"/>
          <w:spacing w:val="-4"/>
          <w:lang w:val="es-ES" w:eastAsia="es-ES"/>
        </w:rPr>
        <w:t xml:space="preserve">recibir la oferta, como en la etapa inicial de calificación, pero luego se percató del error, y </w:t>
      </w:r>
      <w:r>
        <w:rPr>
          <w:rStyle w:val="CharacterStyle7"/>
          <w:rFonts w:ascii="Garamond" w:hAnsi="Garamond" w:cs="Garamond"/>
          <w:spacing w:val="-6"/>
          <w:lang w:val="es-ES" w:eastAsia="es-ES"/>
        </w:rPr>
        <w:t xml:space="preserve">no quedó más que aplicar el Reglamento del Primer Procedimiento y enmendar el yerro cometido excluyendo al recurrente. Por esta razón, no puede accederse a lo pretendido por </w:t>
      </w:r>
      <w:r>
        <w:rPr>
          <w:rStyle w:val="CharacterStyle7"/>
          <w:rFonts w:ascii="Garamond" w:hAnsi="Garamond" w:cs="Garamond"/>
          <w:spacing w:val="-2"/>
          <w:lang w:val="es-ES" w:eastAsia="es-ES"/>
        </w:rPr>
        <w:t xml:space="preserve">el recurrente en su oferta cuando erró en la base de operación y en la modalidad del </w:t>
      </w:r>
      <w:r>
        <w:rPr>
          <w:rStyle w:val="CharacterStyle7"/>
          <w:rFonts w:ascii="Garamond" w:hAnsi="Garamond" w:cs="Garamond"/>
          <w:spacing w:val="-6"/>
          <w:lang w:val="es-ES" w:eastAsia="es-ES"/>
        </w:rPr>
        <w:t>vehículo por el cual participó.</w:t>
      </w:r>
    </w:p>
    <w:p w:rsidR="00835A38" w:rsidRDefault="00835A38" w:rsidP="00835A38">
      <w:pPr>
        <w:pStyle w:val="Style7"/>
        <w:kinsoku w:val="0"/>
        <w:autoSpaceDE/>
        <w:autoSpaceDN/>
        <w:spacing w:line="194" w:lineRule="auto"/>
        <w:rPr>
          <w:rStyle w:val="CharacterStyle7"/>
          <w:rFonts w:ascii="Garamond" w:hAnsi="Garamond" w:cs="Garamond"/>
          <w:spacing w:val="-7"/>
          <w:lang w:val="es-ES" w:eastAsia="es-ES"/>
        </w:rPr>
      </w:pPr>
      <w:r>
        <w:rPr>
          <w:rStyle w:val="CharacterStyle7"/>
          <w:rFonts w:ascii="Bookman Old Style" w:hAnsi="Bookman Old Style" w:cs="Bookman Old Style"/>
          <w:b/>
          <w:bCs/>
          <w:spacing w:val="-2"/>
          <w:sz w:val="23"/>
          <w:szCs w:val="23"/>
          <w:lang w:val="es-ES" w:eastAsia="es-ES"/>
        </w:rPr>
        <w:t xml:space="preserve">B.- </w:t>
      </w:r>
      <w:r>
        <w:rPr>
          <w:rStyle w:val="CharacterStyle7"/>
          <w:rFonts w:ascii="Garamond" w:hAnsi="Garamond" w:cs="Garamond"/>
          <w:spacing w:val="-2"/>
          <w:lang w:val="es-ES" w:eastAsia="es-ES"/>
        </w:rPr>
        <w:t xml:space="preserve">El Recurso de Apelación presentado por el señor </w:t>
      </w:r>
      <w:r>
        <w:rPr>
          <w:rStyle w:val="CharacterStyle7"/>
          <w:b/>
          <w:bCs/>
          <w:spacing w:val="-2"/>
          <w:sz w:val="24"/>
          <w:szCs w:val="24"/>
          <w:lang w:val="es-ES" w:eastAsia="es-ES"/>
        </w:rPr>
        <w:t xml:space="preserve">MA, </w:t>
      </w:r>
      <w:r>
        <w:rPr>
          <w:rStyle w:val="CharacterStyle7"/>
          <w:rFonts w:ascii="Garamond" w:hAnsi="Garamond" w:cs="Garamond"/>
          <w:spacing w:val="-2"/>
          <w:lang w:val="es-ES" w:eastAsia="es-ES"/>
        </w:rPr>
        <w:t xml:space="preserve">se limita a indicar </w:t>
      </w:r>
      <w:r>
        <w:rPr>
          <w:rStyle w:val="CharacterStyle7"/>
          <w:rFonts w:ascii="Garamond" w:hAnsi="Garamond" w:cs="Garamond"/>
          <w:spacing w:val="2"/>
          <w:lang w:val="es-ES" w:eastAsia="es-ES"/>
        </w:rPr>
        <w:t xml:space="preserve">que el recurrente no se explica la razón por la cual no se le tomó en cuenta en la </w:t>
      </w:r>
      <w:r>
        <w:rPr>
          <w:rStyle w:val="CharacterStyle7"/>
          <w:rFonts w:ascii="Garamond" w:hAnsi="Garamond" w:cs="Garamond"/>
          <w:spacing w:val="-6"/>
          <w:lang w:val="es-ES" w:eastAsia="es-ES"/>
        </w:rPr>
        <w:t xml:space="preserve">publicación impugnada, sin que se constituya el citado líbelo una apelación en los términos </w:t>
      </w:r>
      <w:r>
        <w:rPr>
          <w:rStyle w:val="CharacterStyle7"/>
          <w:rFonts w:ascii="Garamond" w:hAnsi="Garamond" w:cs="Garamond"/>
          <w:spacing w:val="-1"/>
          <w:lang w:val="es-ES" w:eastAsia="es-ES"/>
        </w:rPr>
        <w:t xml:space="preserve">de ley. No indica en qué, el acuerdo impugnado quebranta sus derechos y tampoco </w:t>
      </w:r>
      <w:r>
        <w:rPr>
          <w:rStyle w:val="CharacterStyle7"/>
          <w:rFonts w:ascii="Garamond" w:hAnsi="Garamond" w:cs="Garamond"/>
          <w:spacing w:val="1"/>
          <w:lang w:val="es-ES" w:eastAsia="es-ES"/>
        </w:rPr>
        <w:t xml:space="preserve">establece los elementos probatorios para sustentar sus argumentos. Al respecto la </w:t>
      </w:r>
      <w:r>
        <w:rPr>
          <w:rStyle w:val="CharacterStyle7"/>
          <w:rFonts w:ascii="Garamond" w:hAnsi="Garamond" w:cs="Garamond"/>
          <w:spacing w:val="-8"/>
          <w:lang w:val="es-ES" w:eastAsia="es-ES"/>
        </w:rPr>
        <w:t xml:space="preserve">Contraloría General de la República mediante resolución No. R-DAGJ-069-99 de las 15:00 </w:t>
      </w:r>
      <w:r>
        <w:rPr>
          <w:rStyle w:val="CharacterStyle7"/>
          <w:rFonts w:ascii="Garamond" w:hAnsi="Garamond" w:cs="Garamond"/>
          <w:spacing w:val="-7"/>
          <w:lang w:val="es-ES" w:eastAsia="es-ES"/>
        </w:rPr>
        <w:t>horas del 3 de noviembre de 1999 indicó:</w:t>
      </w:r>
    </w:p>
    <w:p w:rsidR="00835A38" w:rsidRDefault="00835A38" w:rsidP="00835A38">
      <w:pPr>
        <w:pStyle w:val="Style9"/>
        <w:kinsoku w:val="0"/>
        <w:autoSpaceDE/>
        <w:autoSpaceDN/>
        <w:spacing w:before="216"/>
        <w:rPr>
          <w:rStyle w:val="CharacterStyle6"/>
          <w:i/>
          <w:spacing w:val="-3"/>
          <w:w w:val="105"/>
          <w:lang w:val="es-ES" w:eastAsia="es-ES"/>
        </w:rPr>
      </w:pPr>
      <w:proofErr w:type="gramStart"/>
      <w:r>
        <w:rPr>
          <w:rStyle w:val="CharacterStyle6"/>
          <w:i/>
          <w:spacing w:val="-2"/>
          <w:w w:val="105"/>
          <w:lang w:val="es-ES" w:eastAsia="es-ES"/>
        </w:rPr>
        <w:t>" Conforme</w:t>
      </w:r>
      <w:proofErr w:type="gramEnd"/>
      <w:r>
        <w:rPr>
          <w:rStyle w:val="CharacterStyle6"/>
          <w:i/>
          <w:spacing w:val="-2"/>
          <w:w w:val="105"/>
          <w:lang w:val="es-ES" w:eastAsia="es-ES"/>
        </w:rPr>
        <w:t xml:space="preserve"> a lo previsto por el artículo 92, del Reglamento General de Contratación </w:t>
      </w:r>
      <w:r>
        <w:rPr>
          <w:rStyle w:val="CharacterStyle6"/>
          <w:i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6"/>
          <w:i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6"/>
          <w:i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6"/>
          <w:i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rStyle w:val="CharacterStyle6"/>
          <w:i/>
          <w:spacing w:val="-2"/>
          <w:w w:val="105"/>
          <w:lang w:val="es-ES" w:eastAsia="es-ES"/>
        </w:rPr>
        <w:t>deberá</w:t>
      </w:r>
      <w:proofErr w:type="gramEnd"/>
      <w:r>
        <w:rPr>
          <w:rStyle w:val="CharacterStyle6"/>
          <w:i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rStyle w:val="CharacterStyle6"/>
          <w:i/>
          <w:spacing w:val="1"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6"/>
          <w:i/>
          <w:spacing w:val="-3"/>
          <w:w w:val="105"/>
          <w:lang w:val="es-ES" w:eastAsia="es-ES"/>
        </w:rPr>
        <w:t>inconforme con respecto al acto dictado por la Administración..."</w:t>
      </w:r>
    </w:p>
    <w:p w:rsidR="00835A38" w:rsidRDefault="00835A38" w:rsidP="00835A38">
      <w:pPr>
        <w:pStyle w:val="Style8"/>
        <w:kinsoku w:val="0"/>
        <w:autoSpaceDE/>
        <w:autoSpaceDN/>
        <w:spacing w:before="252" w:line="196" w:lineRule="auto"/>
        <w:rPr>
          <w:rStyle w:val="CharacterStyle7"/>
          <w:rFonts w:ascii="Garamond" w:hAnsi="Garamond" w:cs="Garamond"/>
          <w:spacing w:val="-8"/>
          <w:lang w:val="es-ES" w:eastAsia="es-ES"/>
        </w:rPr>
      </w:pPr>
      <w:r>
        <w:rPr>
          <w:rStyle w:val="CharacterStyle7"/>
          <w:rFonts w:ascii="Garamond" w:hAnsi="Garamond" w:cs="Garamond"/>
          <w:spacing w:val="-8"/>
          <w:lang w:val="es-ES" w:eastAsia="es-ES"/>
        </w:rPr>
        <w:t>Por estas razones, este oferente debe ser excluido del presente proceso licitatorio, al haber indicado una base de operación que no concuerda con el tipo de vehículo.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760" w:right="1562" w:bottom="2560" w:left="1458" w:header="720" w:footer="720" w:gutter="0"/>
          <w:cols w:space="720"/>
          <w:noEndnote/>
        </w:sectPr>
      </w:pPr>
    </w:p>
    <w:p w:rsidR="00835A38" w:rsidRDefault="00835A38" w:rsidP="00835A38">
      <w:pPr>
        <w:pStyle w:val="Style3"/>
        <w:kinsoku w:val="0"/>
        <w:autoSpaceDE/>
        <w:autoSpaceDN/>
        <w:adjustRightInd/>
        <w:spacing w:line="204" w:lineRule="auto"/>
        <w:ind w:left="4608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lastRenderedPageBreak/>
        <w:t>POR TANTO:</w:t>
      </w:r>
    </w:p>
    <w:p w:rsidR="00835A38" w:rsidRDefault="00835A38" w:rsidP="00835A38">
      <w:pPr>
        <w:pStyle w:val="Style3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adjustRightInd/>
        <w:spacing w:before="540"/>
        <w:ind w:right="21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5"/>
          <w:w w:val="105"/>
          <w:sz w:val="24"/>
          <w:szCs w:val="24"/>
          <w:lang w:val="es-ES" w:eastAsia="es-ES"/>
        </w:rPr>
        <w:t>RAMA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.,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contra el Artículo 1° de la Sesión Extraordinaria N° 37-2001 de fecha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24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octubre del 2001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Junta Directiva del Consejo de Transporte Público.</w:t>
      </w:r>
    </w:p>
    <w:p w:rsidR="00835A38" w:rsidRDefault="00835A38" w:rsidP="00835A38">
      <w:pPr>
        <w:pStyle w:val="Style3"/>
        <w:numPr>
          <w:ilvl w:val="0"/>
          <w:numId w:val="3"/>
        </w:numPr>
        <w:tabs>
          <w:tab w:val="clear" w:pos="432"/>
          <w:tab w:val="num" w:pos="1368"/>
        </w:tabs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confirma en lo aquí resuelto el acto impugnado.</w:t>
      </w:r>
    </w:p>
    <w:p w:rsidR="00835A38" w:rsidRDefault="00835A38" w:rsidP="00835A38">
      <w:pPr>
        <w:pStyle w:val="Style3"/>
        <w:numPr>
          <w:ilvl w:val="0"/>
          <w:numId w:val="4"/>
        </w:numPr>
        <w:tabs>
          <w:tab w:val="clear" w:pos="648"/>
          <w:tab w:val="num" w:pos="1584"/>
        </w:tabs>
        <w:kinsoku w:val="0"/>
        <w:autoSpaceDE/>
        <w:autoSpaceDN/>
        <w:adjustRightInd/>
        <w:spacing w:before="216"/>
        <w:ind w:right="216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tiene por agotada la vía administrativa.</w:t>
      </w: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  <w:r>
        <w:tab/>
      </w:r>
      <w:r>
        <w:tab/>
      </w:r>
      <w:proofErr w:type="gramStart"/>
      <w:r>
        <w:t>NOTIFIQUESE.-</w:t>
      </w:r>
      <w:proofErr w:type="gramEnd"/>
    </w:p>
    <w:p w:rsidR="00835A38" w:rsidRDefault="00835A38" w:rsidP="00835A38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835A38" w:rsidRDefault="00835A38" w:rsidP="00835A38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835A38" w:rsidRDefault="00835A38" w:rsidP="00835A38">
      <w:pPr>
        <w:ind w:left="993"/>
        <w:jc w:val="center"/>
        <w:rPr>
          <w:sz w:val="26"/>
          <w:szCs w:val="26"/>
        </w:rPr>
      </w:pPr>
    </w:p>
    <w:p w:rsidR="00835A38" w:rsidRDefault="00835A38" w:rsidP="00835A38">
      <w:pPr>
        <w:ind w:left="993"/>
        <w:rPr>
          <w:sz w:val="26"/>
          <w:szCs w:val="26"/>
        </w:rPr>
      </w:pPr>
    </w:p>
    <w:p w:rsidR="00835A38" w:rsidRDefault="00835A38" w:rsidP="00835A38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835A38" w:rsidRDefault="00835A38" w:rsidP="00835A38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835A38" w:rsidRDefault="00835A38" w:rsidP="00835A38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835A38" w:rsidRPr="00526A58" w:rsidRDefault="00835A38" w:rsidP="00835A38">
      <w:pPr>
        <w:pStyle w:val="Style5"/>
        <w:kinsoku w:val="0"/>
        <w:autoSpaceDE/>
        <w:autoSpaceDN/>
        <w:spacing w:line="280" w:lineRule="exact"/>
        <w:ind w:left="216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</w:pPr>
    </w:p>
    <w:p w:rsidR="00835A38" w:rsidRDefault="00835A38" w:rsidP="00835A38">
      <w:pPr>
        <w:widowControl/>
        <w:kinsoku/>
        <w:autoSpaceDE w:val="0"/>
        <w:autoSpaceDN w:val="0"/>
        <w:adjustRightInd w:val="0"/>
        <w:sectPr w:rsidR="00835A38">
          <w:pgSz w:w="12240" w:h="15840"/>
          <w:pgMar w:top="800" w:right="918" w:bottom="11113" w:left="1209" w:header="720" w:footer="720" w:gutter="0"/>
          <w:cols w:space="720"/>
          <w:noEndnote/>
        </w:sectPr>
      </w:pPr>
    </w:p>
    <w:p w:rsidR="00835A38" w:rsidRDefault="00835A38" w:rsidP="00835A38">
      <w:pPr>
        <w:spacing w:before="1548" w:after="1008"/>
        <w:ind w:left="8131" w:right="17"/>
        <w:jc w:val="center"/>
        <w:rPr>
          <w:rStyle w:val="CharacterStyle4"/>
          <w:rFonts w:ascii="Lucida Console" w:hAnsi="Lucida Console" w:cs="Lucida Console"/>
          <w:spacing w:val="-10"/>
          <w:sz w:val="19"/>
          <w:szCs w:val="19"/>
          <w:lang w:val="es-ES" w:eastAsia="es-ES"/>
        </w:rPr>
      </w:pPr>
    </w:p>
    <w:p w:rsidR="00F07A18" w:rsidRDefault="00F07A18"/>
    <w:sectPr w:rsidR="00F07A18">
      <w:pgSz w:w="12240" w:h="15840"/>
      <w:pgMar w:top="8717" w:right="742" w:bottom="790" w:left="8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DD45"/>
    <w:multiLevelType w:val="singleLevel"/>
    <w:tmpl w:val="22919B11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1">
    <w:nsid w:val="0625BB17"/>
    <w:multiLevelType w:val="singleLevel"/>
    <w:tmpl w:val="7F109E4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5"/>
        <w:w w:val="105"/>
        <w:sz w:val="24"/>
        <w:szCs w:val="24"/>
      </w:rPr>
    </w:lvl>
  </w:abstractNum>
  <w:abstractNum w:abstractNumId="2">
    <w:nsid w:val="07C1FFDE"/>
    <w:multiLevelType w:val="singleLevel"/>
    <w:tmpl w:val="350D3CE3"/>
    <w:lvl w:ilvl="0">
      <w:start w:val="1"/>
      <w:numFmt w:val="upperRoman"/>
      <w:lvlText w:val="%1.-"/>
      <w:lvlJc w:val="left"/>
      <w:pPr>
        <w:tabs>
          <w:tab w:val="num" w:pos="432"/>
        </w:tabs>
        <w:ind w:left="864" w:firstLine="72"/>
      </w:pPr>
      <w:rPr>
        <w:rFonts w:cs="Times New Roman"/>
        <w:snapToGrid/>
        <w:spacing w:val="5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864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A38"/>
    <w:rsid w:val="001732A6"/>
    <w:rsid w:val="003819BC"/>
    <w:rsid w:val="003D5801"/>
    <w:rsid w:val="006A5EC0"/>
    <w:rsid w:val="00835A38"/>
    <w:rsid w:val="0099644F"/>
    <w:rsid w:val="009D7938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3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35A38"/>
    <w:pPr>
      <w:kinsoku/>
      <w:autoSpaceDE w:val="0"/>
      <w:autoSpaceDN w:val="0"/>
      <w:spacing w:before="216" w:line="276" w:lineRule="exact"/>
      <w:ind w:right="144"/>
      <w:jc w:val="both"/>
    </w:pPr>
  </w:style>
  <w:style w:type="paragraph" w:customStyle="1" w:styleId="Style1">
    <w:name w:val="Style 1"/>
    <w:basedOn w:val="Normal"/>
    <w:uiPriority w:val="99"/>
    <w:rsid w:val="00835A3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835A3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835A38"/>
    <w:pPr>
      <w:kinsoku/>
      <w:autoSpaceDE w:val="0"/>
      <w:autoSpaceDN w:val="0"/>
      <w:spacing w:before="180" w:line="276" w:lineRule="exact"/>
      <w:ind w:right="216" w:firstLine="72"/>
      <w:jc w:val="both"/>
    </w:pPr>
  </w:style>
  <w:style w:type="paragraph" w:customStyle="1" w:styleId="Style5">
    <w:name w:val="Style 5"/>
    <w:basedOn w:val="Normal"/>
    <w:uiPriority w:val="99"/>
    <w:rsid w:val="00835A38"/>
    <w:pPr>
      <w:kinsoku/>
      <w:autoSpaceDE w:val="0"/>
      <w:autoSpaceDN w:val="0"/>
      <w:spacing w:before="288"/>
      <w:ind w:left="72"/>
    </w:pPr>
  </w:style>
  <w:style w:type="paragraph" w:customStyle="1" w:styleId="Style6">
    <w:name w:val="Style 6"/>
    <w:basedOn w:val="Normal"/>
    <w:uiPriority w:val="99"/>
    <w:rsid w:val="00835A38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7">
    <w:name w:val="Style 7"/>
    <w:basedOn w:val="Normal"/>
    <w:uiPriority w:val="99"/>
    <w:rsid w:val="00835A38"/>
    <w:pPr>
      <w:kinsoku/>
      <w:autoSpaceDE w:val="0"/>
      <w:autoSpaceDN w:val="0"/>
      <w:spacing w:before="216" w:line="199" w:lineRule="auto"/>
      <w:ind w:left="72" w:right="144"/>
      <w:jc w:val="both"/>
    </w:pPr>
    <w:rPr>
      <w:sz w:val="27"/>
      <w:szCs w:val="27"/>
    </w:rPr>
  </w:style>
  <w:style w:type="paragraph" w:customStyle="1" w:styleId="Style8">
    <w:name w:val="Style 8"/>
    <w:basedOn w:val="Normal"/>
    <w:uiPriority w:val="99"/>
    <w:rsid w:val="00835A38"/>
    <w:pPr>
      <w:kinsoku/>
      <w:autoSpaceDE w:val="0"/>
      <w:autoSpaceDN w:val="0"/>
      <w:spacing w:line="194" w:lineRule="auto"/>
      <w:ind w:left="72" w:right="144"/>
    </w:pPr>
    <w:rPr>
      <w:sz w:val="27"/>
      <w:szCs w:val="27"/>
    </w:rPr>
  </w:style>
  <w:style w:type="paragraph" w:customStyle="1" w:styleId="Style9">
    <w:name w:val="Style 9"/>
    <w:basedOn w:val="Normal"/>
    <w:uiPriority w:val="99"/>
    <w:rsid w:val="00835A38"/>
    <w:pPr>
      <w:kinsoku/>
      <w:autoSpaceDE w:val="0"/>
      <w:autoSpaceDN w:val="0"/>
      <w:spacing w:before="180"/>
      <w:ind w:left="72" w:right="144"/>
      <w:jc w:val="both"/>
    </w:pPr>
    <w:rPr>
      <w:i/>
      <w:iCs/>
    </w:rPr>
  </w:style>
  <w:style w:type="character" w:customStyle="1" w:styleId="CharacterStyle1">
    <w:name w:val="Character Style 1"/>
    <w:uiPriority w:val="99"/>
    <w:rsid w:val="00835A38"/>
    <w:rPr>
      <w:sz w:val="24"/>
    </w:rPr>
  </w:style>
  <w:style w:type="character" w:customStyle="1" w:styleId="CharacterStyle6">
    <w:name w:val="Character Style 6"/>
    <w:uiPriority w:val="99"/>
    <w:rsid w:val="00835A38"/>
    <w:rPr>
      <w:i/>
      <w:sz w:val="24"/>
    </w:rPr>
  </w:style>
  <w:style w:type="character" w:customStyle="1" w:styleId="CharacterStyle7">
    <w:name w:val="Character Style 7"/>
    <w:uiPriority w:val="99"/>
    <w:rsid w:val="00835A38"/>
    <w:rPr>
      <w:sz w:val="27"/>
    </w:rPr>
  </w:style>
  <w:style w:type="character" w:customStyle="1" w:styleId="CharacterStyle4">
    <w:name w:val="Character Style 4"/>
    <w:uiPriority w:val="99"/>
    <w:rsid w:val="00835A3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2323</Words>
  <Characters>12778</Characters>
  <Application>Microsoft Office Word</Application>
  <DocSecurity>0</DocSecurity>
  <Lines>106</Lines>
  <Paragraphs>30</Paragraphs>
  <ScaleCrop>false</ScaleCrop>
  <Company/>
  <LinksUpToDate>false</LinksUpToDate>
  <CharactersWithSpaces>15071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2013-09-05T19:53:00Z</dcterms:created>
  <dcterms:modified xsi:type="dcterms:W3CDTF">2013-09-05T19:53:00Z</dcterms:modified>
</cp:coreProperties>
</file>